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right="0" w:rightChars="0"/>
        <w:jc w:val="center"/>
        <w:textAlignment w:val="auto"/>
        <w:outlineLvl w:val="9"/>
        <w:rPr>
          <w:b w:val="0"/>
          <w:bCs w:val="0"/>
          <w:sz w:val="32"/>
          <w:szCs w:val="32"/>
          <w:lang w:val="en-US"/>
        </w:rPr>
      </w:pPr>
      <w:r>
        <w:rPr>
          <w:rFonts w:hint="eastAsia"/>
          <w:b/>
          <w:bCs/>
          <w:sz w:val="32"/>
          <w:szCs w:val="32"/>
          <w:lang w:val="en-US"/>
        </w:rPr>
        <w:t>项目运行与实验室管理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第七条  项目立项后，应由项目负责人和指导教师提交项目执行的承诺书，确保在项目实施中实事求是、诚实守信，做好经费使用预算，按计划完成研究工作，并交纳项目保证金（项目结题后返还本人）。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第八条  对项目实行滚动式管理，项目组成员可根据具体情况进行调整，吸收新成员。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第九条   受资助项目如因实际困难或选题有所改动等原因不能按期完成者，经学院同意后可适当延期或调整计划项目内容，但延期不得超过一年。研究项目由于一些不可克服的原因而终止研究者，应由项目负责人提交项目终止报告，并报学院备案，并依据研究院相关规定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第十条  凡执行不力，无故延期又无具体改进措施或经费使用不当的计划项目，研究院将责令项目负责人停止使用研究院资源，并视情节轻重收回部分或全部资助经费，并根据研究院相关规定予以处理。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/>
        </w:rPr>
        <w:t>第十一条  项目立项后进驻相应创新实验室，项目组成员成为创新实验室成员。实验室将为其配备门卡（押金30元）、工具箱（押金100元）、柜子。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B4FAA"/>
    <w:rsid w:val="392B4FAA"/>
    <w:rsid w:val="48044B34"/>
    <w:rsid w:val="55C212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unhideWhenUsed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98415\AppData\Roaming\kingsoft\office6\templates\wps\zh_CN\Normal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2018-04-18T02:40:00Z</dcterms:created>
  <dc:creator>13199277881手机用户</dc:creator>
  <cp:lastModifiedBy>溪溪咪</cp:lastModifiedBy>
  <dcterms:modified xsi:type="dcterms:W3CDTF">2020-03-19T03:22:00Z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